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1C23" w:rsidRDefault="00D71C23">
      <w:pPr>
        <w:pStyle w:val="ConsPlusNormal"/>
        <w:jc w:val="right"/>
        <w:outlineLvl w:val="0"/>
      </w:pPr>
      <w:r>
        <w:t>Приложение N 15</w:t>
      </w:r>
    </w:p>
    <w:p w:rsidR="00D71C23" w:rsidRDefault="00D71C23">
      <w:pPr>
        <w:pStyle w:val="ConsPlusNormal"/>
        <w:jc w:val="right"/>
      </w:pPr>
      <w:r>
        <w:t>к решению</w:t>
      </w:r>
    </w:p>
    <w:p w:rsidR="00D71C23" w:rsidRDefault="00D71C23">
      <w:pPr>
        <w:pStyle w:val="ConsPlusNormal"/>
        <w:jc w:val="right"/>
      </w:pPr>
      <w:r>
        <w:t>Думы Белоярского района</w:t>
      </w:r>
    </w:p>
    <w:p w:rsidR="00D71C23" w:rsidRDefault="00D71C23">
      <w:pPr>
        <w:pStyle w:val="ConsPlusNormal"/>
        <w:jc w:val="right"/>
      </w:pPr>
      <w:r>
        <w:t>от 29 ноября 2018 года N 52</w:t>
      </w:r>
    </w:p>
    <w:p w:rsidR="00D71C23" w:rsidRDefault="00D71C23">
      <w:pPr>
        <w:pStyle w:val="ConsPlusNormal"/>
        <w:jc w:val="both"/>
      </w:pPr>
    </w:p>
    <w:p w:rsidR="00D71C23" w:rsidRDefault="00D71C23">
      <w:pPr>
        <w:pStyle w:val="ConsPlusTitle"/>
        <w:jc w:val="center"/>
      </w:pPr>
      <w:r>
        <w:t>ОБЪЕМ</w:t>
      </w:r>
    </w:p>
    <w:p w:rsidR="00D71C23" w:rsidRDefault="00D71C23">
      <w:pPr>
        <w:pStyle w:val="ConsPlusTitle"/>
        <w:jc w:val="center"/>
      </w:pPr>
      <w:r>
        <w:t>ИНЫХ МЕЖБЮДЖЕТНЫХ ТРАНСФЕРТОВ БЮДЖЕТУ БЕЛОЯРСКОГО РАЙОНА</w:t>
      </w:r>
    </w:p>
    <w:p w:rsidR="00D71C23" w:rsidRDefault="00D71C23">
      <w:pPr>
        <w:pStyle w:val="ConsPlusTitle"/>
        <w:jc w:val="center"/>
      </w:pPr>
      <w:r>
        <w:t>НА ПЛАНОВЫЙ ПЕРИОД 2020 И 2021 ГОДОВ</w:t>
      </w:r>
    </w:p>
    <w:p w:rsidR="00D71C23" w:rsidRDefault="00D71C23">
      <w:pPr>
        <w:pStyle w:val="ConsPlusNormal"/>
        <w:jc w:val="both"/>
      </w:pPr>
    </w:p>
    <w:p w:rsidR="00D71C23" w:rsidRDefault="00D71C23">
      <w:pPr>
        <w:pStyle w:val="ConsPlusNormal"/>
        <w:jc w:val="right"/>
      </w:pPr>
      <w:r>
        <w:t>(рублей)</w:t>
      </w:r>
    </w:p>
    <w:p w:rsidR="00D71C23" w:rsidRDefault="00D71C23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4762"/>
        <w:gridCol w:w="1814"/>
        <w:gridCol w:w="1871"/>
      </w:tblGrid>
      <w:tr w:rsidR="00D71C23">
        <w:tc>
          <w:tcPr>
            <w:tcW w:w="624" w:type="dxa"/>
            <w:vAlign w:val="center"/>
          </w:tcPr>
          <w:p w:rsidR="00D71C23" w:rsidRDefault="00D71C23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762" w:type="dxa"/>
            <w:vAlign w:val="center"/>
          </w:tcPr>
          <w:p w:rsidR="00D71C23" w:rsidRDefault="00D71C23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814" w:type="dxa"/>
            <w:vAlign w:val="center"/>
          </w:tcPr>
          <w:p w:rsidR="00D71C23" w:rsidRDefault="00D71C23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871" w:type="dxa"/>
            <w:vAlign w:val="center"/>
          </w:tcPr>
          <w:p w:rsidR="00D71C23" w:rsidRDefault="00D71C23">
            <w:pPr>
              <w:pStyle w:val="ConsPlusNormal"/>
              <w:jc w:val="center"/>
            </w:pPr>
            <w:r>
              <w:t>2021 год</w:t>
            </w:r>
          </w:p>
        </w:tc>
      </w:tr>
      <w:tr w:rsidR="00D71C23">
        <w:tc>
          <w:tcPr>
            <w:tcW w:w="624" w:type="dxa"/>
            <w:vAlign w:val="center"/>
          </w:tcPr>
          <w:p w:rsidR="00D71C23" w:rsidRDefault="00D71C2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762" w:type="dxa"/>
            <w:vAlign w:val="center"/>
          </w:tcPr>
          <w:p w:rsidR="00D71C23" w:rsidRDefault="00D71C2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4" w:type="dxa"/>
            <w:vAlign w:val="center"/>
          </w:tcPr>
          <w:p w:rsidR="00D71C23" w:rsidRDefault="00D71C2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71" w:type="dxa"/>
            <w:vAlign w:val="center"/>
          </w:tcPr>
          <w:p w:rsidR="00D71C23" w:rsidRDefault="00D71C23">
            <w:pPr>
              <w:pStyle w:val="ConsPlusNormal"/>
              <w:jc w:val="center"/>
            </w:pPr>
            <w:r>
              <w:t>4</w:t>
            </w:r>
          </w:p>
        </w:tc>
      </w:tr>
      <w:tr w:rsidR="00D71C23">
        <w:tc>
          <w:tcPr>
            <w:tcW w:w="624" w:type="dxa"/>
            <w:vAlign w:val="center"/>
          </w:tcPr>
          <w:p w:rsidR="00D71C23" w:rsidRDefault="00D71C2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762" w:type="dxa"/>
            <w:vAlign w:val="center"/>
          </w:tcPr>
          <w:p w:rsidR="00D71C23" w:rsidRDefault="00D71C23">
            <w:pPr>
              <w:pStyle w:val="ConsPlusNormal"/>
            </w:pPr>
            <w: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814" w:type="dxa"/>
            <w:vAlign w:val="center"/>
          </w:tcPr>
          <w:p w:rsidR="00D71C23" w:rsidRDefault="00D71C23">
            <w:pPr>
              <w:pStyle w:val="ConsPlusNormal"/>
              <w:jc w:val="right"/>
            </w:pPr>
            <w:r>
              <w:t>136805200,00</w:t>
            </w:r>
          </w:p>
        </w:tc>
        <w:tc>
          <w:tcPr>
            <w:tcW w:w="1871" w:type="dxa"/>
            <w:vAlign w:val="center"/>
          </w:tcPr>
          <w:p w:rsidR="00D71C23" w:rsidRDefault="00D71C23">
            <w:pPr>
              <w:pStyle w:val="ConsPlusNormal"/>
              <w:jc w:val="right"/>
            </w:pPr>
            <w:r>
              <w:t>134663100,00</w:t>
            </w:r>
          </w:p>
        </w:tc>
      </w:tr>
      <w:tr w:rsidR="00D71C23">
        <w:tc>
          <w:tcPr>
            <w:tcW w:w="624" w:type="dxa"/>
            <w:vAlign w:val="center"/>
          </w:tcPr>
          <w:p w:rsidR="00D71C23" w:rsidRDefault="00D71C2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762" w:type="dxa"/>
            <w:vAlign w:val="center"/>
          </w:tcPr>
          <w:p w:rsidR="00D71C23" w:rsidRDefault="00D71C23">
            <w:pPr>
              <w:pStyle w:val="ConsPlusNormal"/>
            </w:pPr>
            <w:r>
              <w:t>Иные межбюджетные трансферты на реализацию мероприятий по содействию трудоустройству граждан за счет средств бюджета Ханты-Мансийского автономного округа - Югры (далее - бюджет автономного округа)</w:t>
            </w:r>
          </w:p>
        </w:tc>
        <w:tc>
          <w:tcPr>
            <w:tcW w:w="1814" w:type="dxa"/>
            <w:vAlign w:val="center"/>
          </w:tcPr>
          <w:p w:rsidR="00D71C23" w:rsidRDefault="00D71C23">
            <w:pPr>
              <w:pStyle w:val="ConsPlusNormal"/>
              <w:jc w:val="right"/>
            </w:pPr>
            <w:r>
              <w:t>6173900,00</w:t>
            </w:r>
          </w:p>
        </w:tc>
        <w:tc>
          <w:tcPr>
            <w:tcW w:w="1871" w:type="dxa"/>
            <w:vAlign w:val="center"/>
          </w:tcPr>
          <w:p w:rsidR="00D71C23" w:rsidRDefault="00D71C23">
            <w:pPr>
              <w:pStyle w:val="ConsPlusNormal"/>
              <w:jc w:val="right"/>
            </w:pPr>
            <w:r>
              <w:t>6126200,00</w:t>
            </w:r>
          </w:p>
        </w:tc>
      </w:tr>
      <w:tr w:rsidR="00D71C23">
        <w:tc>
          <w:tcPr>
            <w:tcW w:w="624" w:type="dxa"/>
            <w:vAlign w:val="bottom"/>
          </w:tcPr>
          <w:p w:rsidR="00D71C23" w:rsidRDefault="00D71C23">
            <w:pPr>
              <w:pStyle w:val="ConsPlusNormal"/>
            </w:pPr>
          </w:p>
        </w:tc>
        <w:tc>
          <w:tcPr>
            <w:tcW w:w="4762" w:type="dxa"/>
            <w:vAlign w:val="bottom"/>
          </w:tcPr>
          <w:p w:rsidR="00D71C23" w:rsidRDefault="00D71C23">
            <w:pPr>
              <w:pStyle w:val="ConsPlusNormal"/>
            </w:pPr>
            <w:r>
              <w:t>Итого иных межбюджетных трансфертов из федерального бюджета</w:t>
            </w:r>
          </w:p>
        </w:tc>
        <w:tc>
          <w:tcPr>
            <w:tcW w:w="1814" w:type="dxa"/>
            <w:vAlign w:val="center"/>
          </w:tcPr>
          <w:p w:rsidR="00D71C23" w:rsidRDefault="00D71C23">
            <w:pPr>
              <w:pStyle w:val="ConsPlusNormal"/>
              <w:jc w:val="right"/>
            </w:pPr>
            <w:r>
              <w:t>0,00</w:t>
            </w:r>
          </w:p>
        </w:tc>
        <w:tc>
          <w:tcPr>
            <w:tcW w:w="1871" w:type="dxa"/>
            <w:vAlign w:val="center"/>
          </w:tcPr>
          <w:p w:rsidR="00D71C23" w:rsidRDefault="00D71C23">
            <w:pPr>
              <w:pStyle w:val="ConsPlusNormal"/>
              <w:jc w:val="right"/>
            </w:pPr>
            <w:r>
              <w:t>0,00</w:t>
            </w:r>
          </w:p>
        </w:tc>
      </w:tr>
      <w:tr w:rsidR="00D71C23">
        <w:tc>
          <w:tcPr>
            <w:tcW w:w="624" w:type="dxa"/>
            <w:vAlign w:val="bottom"/>
          </w:tcPr>
          <w:p w:rsidR="00D71C23" w:rsidRDefault="00D71C23">
            <w:pPr>
              <w:pStyle w:val="ConsPlusNormal"/>
            </w:pPr>
          </w:p>
        </w:tc>
        <w:tc>
          <w:tcPr>
            <w:tcW w:w="4762" w:type="dxa"/>
            <w:vAlign w:val="bottom"/>
          </w:tcPr>
          <w:p w:rsidR="00D71C23" w:rsidRDefault="00D71C23">
            <w:pPr>
              <w:pStyle w:val="ConsPlusNormal"/>
            </w:pPr>
            <w:r>
              <w:t>Итого иных межбюджетных трансфертов из бюджета автономного округа</w:t>
            </w:r>
          </w:p>
        </w:tc>
        <w:tc>
          <w:tcPr>
            <w:tcW w:w="1814" w:type="dxa"/>
            <w:vAlign w:val="center"/>
          </w:tcPr>
          <w:p w:rsidR="00D71C23" w:rsidRDefault="00D71C23">
            <w:pPr>
              <w:pStyle w:val="ConsPlusNormal"/>
              <w:jc w:val="right"/>
            </w:pPr>
            <w:r>
              <w:t>6173900,00</w:t>
            </w:r>
          </w:p>
        </w:tc>
        <w:tc>
          <w:tcPr>
            <w:tcW w:w="1871" w:type="dxa"/>
            <w:vAlign w:val="center"/>
          </w:tcPr>
          <w:p w:rsidR="00D71C23" w:rsidRDefault="00D71C23">
            <w:pPr>
              <w:pStyle w:val="ConsPlusNormal"/>
              <w:jc w:val="right"/>
            </w:pPr>
            <w:r>
              <w:t>6126200,00</w:t>
            </w:r>
          </w:p>
        </w:tc>
      </w:tr>
      <w:tr w:rsidR="00D71C23">
        <w:tc>
          <w:tcPr>
            <w:tcW w:w="624" w:type="dxa"/>
            <w:vAlign w:val="bottom"/>
          </w:tcPr>
          <w:p w:rsidR="00D71C23" w:rsidRDefault="00D71C23">
            <w:pPr>
              <w:pStyle w:val="ConsPlusNormal"/>
            </w:pPr>
          </w:p>
        </w:tc>
        <w:tc>
          <w:tcPr>
            <w:tcW w:w="4762" w:type="dxa"/>
            <w:vAlign w:val="bottom"/>
          </w:tcPr>
          <w:p w:rsidR="00D71C23" w:rsidRDefault="00D71C23">
            <w:pPr>
              <w:pStyle w:val="ConsPlusNormal"/>
            </w:pPr>
            <w:r>
              <w:t>Итого иных межбюджетных трансфертов из бюджетов поселений</w:t>
            </w:r>
          </w:p>
        </w:tc>
        <w:tc>
          <w:tcPr>
            <w:tcW w:w="1814" w:type="dxa"/>
            <w:vAlign w:val="center"/>
          </w:tcPr>
          <w:p w:rsidR="00D71C23" w:rsidRDefault="00D71C23">
            <w:pPr>
              <w:pStyle w:val="ConsPlusNormal"/>
              <w:jc w:val="right"/>
            </w:pPr>
            <w:r>
              <w:t>136805200,00</w:t>
            </w:r>
          </w:p>
        </w:tc>
        <w:tc>
          <w:tcPr>
            <w:tcW w:w="1871" w:type="dxa"/>
            <w:vAlign w:val="center"/>
          </w:tcPr>
          <w:p w:rsidR="00D71C23" w:rsidRDefault="00D71C23">
            <w:pPr>
              <w:pStyle w:val="ConsPlusNormal"/>
              <w:jc w:val="right"/>
            </w:pPr>
            <w:r>
              <w:t>134663100,00</w:t>
            </w:r>
          </w:p>
        </w:tc>
      </w:tr>
      <w:tr w:rsidR="00D71C23">
        <w:tc>
          <w:tcPr>
            <w:tcW w:w="624" w:type="dxa"/>
            <w:vAlign w:val="bottom"/>
          </w:tcPr>
          <w:p w:rsidR="00D71C23" w:rsidRDefault="00D71C23">
            <w:pPr>
              <w:pStyle w:val="ConsPlusNormal"/>
            </w:pPr>
          </w:p>
        </w:tc>
        <w:tc>
          <w:tcPr>
            <w:tcW w:w="4762" w:type="dxa"/>
            <w:vAlign w:val="bottom"/>
          </w:tcPr>
          <w:p w:rsidR="00D71C23" w:rsidRDefault="00D71C23">
            <w:pPr>
              <w:pStyle w:val="ConsPlusNormal"/>
            </w:pPr>
            <w:r>
              <w:t>Всего</w:t>
            </w:r>
          </w:p>
        </w:tc>
        <w:tc>
          <w:tcPr>
            <w:tcW w:w="1814" w:type="dxa"/>
            <w:vAlign w:val="center"/>
          </w:tcPr>
          <w:p w:rsidR="00D71C23" w:rsidRDefault="00D71C23">
            <w:pPr>
              <w:pStyle w:val="ConsPlusNormal"/>
              <w:jc w:val="right"/>
            </w:pPr>
            <w:r>
              <w:t>142979100,00</w:t>
            </w:r>
          </w:p>
        </w:tc>
        <w:tc>
          <w:tcPr>
            <w:tcW w:w="1871" w:type="dxa"/>
            <w:vAlign w:val="center"/>
          </w:tcPr>
          <w:p w:rsidR="00D71C23" w:rsidRDefault="00D71C23">
            <w:pPr>
              <w:pStyle w:val="ConsPlusNormal"/>
              <w:jc w:val="right"/>
            </w:pPr>
            <w:r>
              <w:t>140789300,00</w:t>
            </w:r>
          </w:p>
        </w:tc>
      </w:tr>
    </w:tbl>
    <w:p w:rsidR="00D71C23" w:rsidRDefault="00D71C23">
      <w:pPr>
        <w:pStyle w:val="ConsPlusNormal"/>
        <w:jc w:val="both"/>
      </w:pPr>
    </w:p>
    <w:p w:rsidR="00D71C23" w:rsidRDefault="00D71C23">
      <w:pPr>
        <w:pStyle w:val="ConsPlusNormal"/>
        <w:jc w:val="both"/>
      </w:pPr>
    </w:p>
    <w:p w:rsidR="00D71C23" w:rsidRDefault="00D71C23">
      <w:pPr>
        <w:pStyle w:val="ConsPlusNormal"/>
        <w:jc w:val="both"/>
      </w:pPr>
    </w:p>
    <w:p w:rsidR="00D71C23" w:rsidRDefault="00D71C23">
      <w:pPr>
        <w:pStyle w:val="ConsPlusNormal"/>
        <w:jc w:val="both"/>
      </w:pPr>
    </w:p>
    <w:p w:rsidR="00D71C23" w:rsidRDefault="00D71C23">
      <w:pPr>
        <w:pStyle w:val="ConsPlusNormal"/>
        <w:jc w:val="both"/>
      </w:pPr>
    </w:p>
    <w:p w:rsidR="00DF1DFE" w:rsidRDefault="00DF1DFE">
      <w:bookmarkStart w:id="0" w:name="_GoBack"/>
      <w:bookmarkEnd w:id="0"/>
    </w:p>
    <w:sectPr w:rsidR="00DF1DFE" w:rsidSect="00176B2A">
      <w:pgSz w:w="11906" w:h="16838" w:code="9"/>
      <w:pgMar w:top="1418" w:right="851" w:bottom="1247" w:left="1418" w:header="284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C23"/>
    <w:rsid w:val="00AE048B"/>
    <w:rsid w:val="00D71C23"/>
    <w:rsid w:val="00DF1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CF6C85-1FF7-4A7C-8D5B-D7E067440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71C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71C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1</cp:revision>
  <dcterms:created xsi:type="dcterms:W3CDTF">2020-01-09T10:30:00Z</dcterms:created>
  <dcterms:modified xsi:type="dcterms:W3CDTF">2020-01-09T10:31:00Z</dcterms:modified>
</cp:coreProperties>
</file>